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žadatele (dle žádosti):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projektu (dle žádosti):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Požadovaná výše dotace (dle žádosti):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Celkové náklady na projekt (dle žádosti):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Popis projektu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Současný stav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Velmi stručně popište situaci knihovny z hlediska využití informačních a komunikačních technologii nebo charakterizujte situaci v oblasti, která je předmětem řešení projektu.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Městská knihovna v …............... využívá automatizovaný knihovní systém Clavius, v souladu s katalogizačními pravidly AACR2R. Výměnným formátem pro bibliografické a autoritní záznamy je UNIMARC a ten bohužel není  plně kompatibilní s novými pravidly RDA.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Knihovna má zakoupeny tyto moduly 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Katalogizace knih, map, hudebnin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Vyhledávání, rešerše pro knihovníky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Výpůjční protokol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Revize fondu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CKPrint Tisk čárkového kódu</w:t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POZNÁMKA: Pokud modul nemáte prosím nezapomeňte jej vymazat, </w:t>
      </w: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a pak i tento text z Vašeho projektu</w:t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Cíle projektu</w:t>
      </w:r>
    </w:p>
    <w:p w:rsidR="00000000" w:rsidDel="00000000" w:rsidP="00000000" w:rsidRDefault="00000000" w:rsidRPr="00000000" w14:paraId="0000001B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Zdůrazněte charakter projektu ve vztahu ke službám uživatelům, dotace není určena na pouhou výměnu technologie.</w:t>
      </w:r>
    </w:p>
    <w:p w:rsidR="00000000" w:rsidDel="00000000" w:rsidP="00000000" w:rsidRDefault="00000000" w:rsidRPr="00000000" w14:paraId="0000001C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Přechodem z knihovního systému Clavius na knihovní systém Tritius získáme katalogizační informační systém nové generace, webový a dostupný z celého světa.  Tritius je také úplný knihovní systém. Je nástupcem systému Clavius - nejrozšířenějšího knihovního systému v ČR a SR.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 uživatele knihovny a veřejnost webový katalog v systému Tritius zpřístupňuje data knihovny v moderním kabátě. Webový katalog je dobře použitelný i na mobilech a využije jej proto mladší generace. Katalog také umí půjčovat elektronické knihy.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Nový systém je jednodušší na ovládání pro nás knihovníky a má Zklient pro stahování nových záznamů. Pracuje v MARC21 a díky němu budeme moci používat pravidla RDA a přispívat do SK.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Systém Tritius pracuje v zabezpečeném protokolu https a splňuje požadavky nařízení EU (GDPR)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Umožňuje snadno přijímat výměnné soubory z regionální knihovny a snadno zpřístupňuje roční statistiky pro metodické oddělení.</w:t>
      </w:r>
    </w:p>
    <w:p w:rsidR="00000000" w:rsidDel="00000000" w:rsidP="00000000" w:rsidRDefault="00000000" w:rsidRPr="00000000" w14:paraId="00000022">
      <w:p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Navrhovaný postup realizace </w:t>
      </w:r>
    </w:p>
    <w:p w:rsidR="00000000" w:rsidDel="00000000" w:rsidP="00000000" w:rsidRDefault="00000000" w:rsidRPr="00000000" w14:paraId="00000028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Uveďte popis technického řešení, přehled nakupovaných zařízení a služeb, případně harmonogram, odborné zajištění realizace projektu, spolupracující instituce, firmy, odhadovanou pracovní kapacitu, kalkulaci nákladů, dodržování standardů, zdůvodněte uplatnění atypického a nákladného řešení apod. Výběr automatizovaného knihovního systému konzultujte s příslušnou regionální či krajskou knihovnou. V případě výběru jiného AKS nežli je provozovaný RAKS uveďte odůvodnění.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Požadovaná verze a počet licencí automatizovaného knihovního systému musí odpovídat velikosti fondu a stavu připravenosti knihovny.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Při zahájení automatizace obecní knihovny připojte stanovisko příslušné regionální knihovny.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Zprovoznění PC  pro nový systém – ve spolupráci se zřizovatelem a dodavatelem.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Převod dat ze stávajícího systému Clavius / Clavius REKS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Nastavení nového knihovního systému – zprovoznění systému Tritius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Zprovoznění webového katalogu pro čtenáře - umístění na stránkách knihovny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Školení pro formát MARC21 a katalogizační pravidla RDA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Propagace nových vlastností a služeb knihovny pro čtenáře a další organizace regionu.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 Pokud “Vaše” regionální knihovna provozuje regionální knihovní systém Clavius/Tritius a Vaše knihovna se připojuje do jejich regionálního systému nezapoměňte to zdůraznit. Např: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Přechodem na knihovní systém Tritius REKS se naše knihovna zapojí do existujícího regionálního kooperačního systému knihoven našeho regionu.</w:t>
      </w:r>
    </w:p>
    <w:p w:rsidR="00000000" w:rsidDel="00000000" w:rsidP="00000000" w:rsidRDefault="00000000" w:rsidRPr="00000000" w14:paraId="00000031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Očekávané výsledky řešení, charakteristika výstupů, přínos řešení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 bude výsledkem řešení, kvantifikujte výsledky, např. počty zpracovaných záznamů, počet vybavených míst pro uživatele, uveďte, co bude přínosem řešení projektu.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MARC21 a RDA při sdílení bibliografických záznamů i autorit v síti knihoven ČR.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Přispívání fondu naší knihovny do celostátních projektů Souborného katalogu ČR, CPK.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Podstatné zvýšení bezpečnosti ukládaných dat a výkonu databáze na principu 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Dostupnost všech základních elektronických služeb knihovny na mobilních zařízeních.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Možnost půjčování elektronických e-knih pomocí katalogu knihovního systému.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Snadné využití výměnných souborů a předávání statistik do regionální knihovny.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Nařízení EU o ochraně osobních údajů (GDPR) a provoz pod protokolem HTTPS.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284" w:hanging="284"/>
        <w:jc w:val="both"/>
        <w:rPr>
          <w:rFonts w:ascii="Calibri" w:cs="Calibri" w:eastAsia="Calibri" w:hAnsi="Calibri"/>
          <w:b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0"/>
          <w:szCs w:val="20"/>
          <w:rtl w:val="0"/>
        </w:rPr>
        <w:t xml:space="preserve">Upozornění:</w:t>
      </w:r>
    </w:p>
    <w:p w:rsidR="00000000" w:rsidDel="00000000" w:rsidP="00000000" w:rsidRDefault="00000000" w:rsidRPr="00000000" w14:paraId="00000040">
      <w:pPr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V případě plánování nákupu regionálního automatizovaného systému a jiných kooperačních projektů uveďte seznam všech knihoven, které na projektu spolupracují. Doporučujeme, aby projekty všech spolupracujících knihoven byly zaslány na Ministerstvo kultury v jedné zásilce tak, aby nedošlo k jejich odtržení a mohly být hodnoceny jako jeden celek. V případě zasílání datovou schránkou každý projekt odešlete v samostatné zprávě a na tuto skutečnost (kooperaci) upozorněte v průvodním dopise.</w:t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Zde uveďte Regionální knihovnu, která Vás bude zapojovat a také další obce, které podávají stejný projekt. </w:t>
      </w:r>
      <w:r w:rsidDel="00000000" w:rsidR="00000000" w:rsidRPr="00000000">
        <w:rPr>
          <w:rFonts w:ascii="Arial" w:cs="Arial" w:eastAsia="Arial" w:hAnsi="Arial"/>
          <w:color w:val="ff0000"/>
          <w:sz w:val="18"/>
          <w:szCs w:val="18"/>
          <w:rtl w:val="0"/>
        </w:rPr>
        <w:t xml:space="preserve">Tento červený text pak smažte z textu projektu.</w:t>
      </w: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Přílohy</w:t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Povinné přílohy dle typu projektu viz zadávací podmínky (oddíl IV. bod 5), nepovinné přílohy např. nezávislé lektorské posudky projektu žadatele, případně jiné doporučující materiály, apod.</w:t>
      </w:r>
    </w:p>
    <w:sectPr>
      <w:pgSz w:h="16838" w:w="11906" w:orient="portrait"/>
      <w:pgMar w:bottom="1418" w:top="1134" w:left="85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cs-C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rPr>
      <w:sz w:val="24"/>
      <w:szCs w:val="24"/>
    </w:rPr>
  </w:style>
  <w:style w:type="paragraph" w:styleId="Nadpis1">
    <w:name w:val="heading 1"/>
    <w:basedOn w:val="Normln"/>
    <w:next w:val="Normln"/>
    <w:qFormat w:val="1"/>
    <w:rsid w:val="000542BB"/>
    <w:pPr>
      <w:keepNext w:val="1"/>
      <w:spacing w:after="60" w:before="240"/>
      <w:outlineLvl w:val="0"/>
    </w:pPr>
    <w:rPr>
      <w:rFonts w:ascii="Arial" w:cs="Arial" w:hAnsi="Arial"/>
      <w:b w:val="1"/>
      <w:bCs w:val="1"/>
      <w:kern w:val="32"/>
      <w:sz w:val="32"/>
      <w:szCs w:val="3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kladntextodsazen">
    <w:name w:val="Body Text Indent"/>
    <w:basedOn w:val="Normln"/>
    <w:rsid w:val="0008619C"/>
    <w:pPr>
      <w:autoSpaceDE w:val="0"/>
      <w:autoSpaceDN w:val="0"/>
      <w:jc w:val="both"/>
    </w:pPr>
    <w:rPr>
      <w:b w:val="1"/>
      <w:bCs w:val="1"/>
    </w:rPr>
  </w:style>
  <w:style w:type="paragraph" w:styleId="Zkladntextodsazen3">
    <w:name w:val="Body Text Indent 3"/>
    <w:basedOn w:val="Normln"/>
    <w:rsid w:val="0008619C"/>
    <w:pPr>
      <w:autoSpaceDE w:val="0"/>
      <w:autoSpaceDN w:val="0"/>
      <w:spacing w:after="120"/>
      <w:ind w:left="283"/>
    </w:pPr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UsyQB24XTALyzqNjLcBAJ6qHEA==">AMUW2mUelOwS05aeKCPRr0aDXGSCusv6ovbhMcvaaz9uLIzjmjpUlWqUiNXQGn7n0OQTe46R9IQxngPDTDr35Vb4TvKtxH6xeZhiUbo5Icji+vIX9Ykq7AeLi1DWcsIMMxrmOSAtPtyg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2022-09-29T14:05:00Z</dcterms:created>
  <dc:creator>Macholdová Lenka</dc:creator>
</cp:coreProperties>
</file>